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66" w:rsidRDefault="00D26866" w:rsidP="00D2686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D26866" w:rsidRPr="0093113A" w:rsidRDefault="00D26866" w:rsidP="00D26866">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101</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имущества по ул. Беловежской, 6г</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D26866" w:rsidRPr="0014681D" w:rsidRDefault="00D26866" w:rsidP="00D26866">
      <w:pPr>
        <w:pStyle w:val="af3"/>
        <w:spacing w:after="0"/>
        <w:ind w:left="0" w:firstLine="709"/>
        <w:jc w:val="both"/>
      </w:pPr>
      <w:r w:rsidRPr="0014681D">
        <w:t>отдельно стоящее одноэтажное нежилое здание 1986 года постройки общей площадью 155,9 кв. м, с кадастровым номером 24:50:0000000:161993  расположено по ул. Беловежской, 6г;</w:t>
      </w:r>
    </w:p>
    <w:p w:rsidR="00E00F66" w:rsidRPr="009B1833" w:rsidRDefault="00D26866" w:rsidP="00D26866">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1 231 кв. м, с кадастровым номером 24:50:0100490:737, расположен по адресу: г. Красноярск, ул. </w:t>
      </w:r>
      <w:proofErr w:type="gramStart"/>
      <w:r w:rsidRPr="0014681D">
        <w:rPr>
          <w:rFonts w:ascii="Times New Roman" w:hAnsi="Times New Roman"/>
          <w:sz w:val="24"/>
          <w:szCs w:val="24"/>
        </w:rPr>
        <w:t>Беловежская</w:t>
      </w:r>
      <w:proofErr w:type="gramEnd"/>
      <w:r w:rsidRPr="0014681D">
        <w:rPr>
          <w:rFonts w:ascii="Times New Roman" w:hAnsi="Times New Roman"/>
          <w:sz w:val="24"/>
          <w:szCs w:val="24"/>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14681D">
        <w:rPr>
          <w:rFonts w:ascii="Times New Roman" w:hAnsi="Times New Roman"/>
          <w:bCs/>
          <w:sz w:val="24"/>
          <w:szCs w:val="24"/>
        </w:rPr>
        <w:t>размещение административных объектов</w:t>
      </w:r>
      <w:r w:rsidRPr="0014681D">
        <w:rPr>
          <w:rFonts w:ascii="Times New Roman" w:hAnsi="Times New Roman"/>
          <w:sz w:val="24"/>
          <w:szCs w:val="24"/>
        </w:rPr>
        <w:t>.</w:t>
      </w:r>
      <w:r>
        <w:rPr>
          <w:rFonts w:ascii="Times New Roman" w:hAnsi="Times New Roman"/>
          <w:sz w:val="24"/>
          <w:szCs w:val="24"/>
        </w:rPr>
        <w:t xml:space="preserve"> Территориальная зона и зоны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особыми</w:t>
      </w:r>
      <w:proofErr w:type="gramEnd"/>
      <w:r>
        <w:rPr>
          <w:rFonts w:ascii="Times New Roman" w:hAnsi="Times New Roman"/>
          <w:sz w:val="24"/>
          <w:szCs w:val="24"/>
        </w:rPr>
        <w:t xml:space="preserve"> условиями использования территорий: СХ-2</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 05.03.2021, 27.08.2021, 28.09.2021, 26.10.2021, 21.12.2021,</w:t>
      </w:r>
      <w:r w:rsidR="00CE0EA0">
        <w:rPr>
          <w:rFonts w:ascii="Times New Roman" w:hAnsi="Times New Roman"/>
          <w:sz w:val="24"/>
          <w:szCs w:val="24"/>
        </w:rPr>
        <w:t xml:space="preserve"> 15.03.2022,</w:t>
      </w:r>
      <w:r w:rsidR="009C6451">
        <w:rPr>
          <w:rFonts w:ascii="Times New Roman" w:hAnsi="Times New Roman"/>
          <w:sz w:val="24"/>
          <w:szCs w:val="24"/>
        </w:rPr>
        <w:t xml:space="preserve"> 28.04.2022,</w:t>
      </w:r>
      <w:r w:rsidR="00D26866">
        <w:rPr>
          <w:rFonts w:ascii="Times New Roman" w:hAnsi="Times New Roman"/>
          <w:sz w:val="24"/>
          <w:szCs w:val="24"/>
        </w:rPr>
        <w:t xml:space="preserve">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6F176C">
        <w:t xml:space="preserve"> с земельным участком</w:t>
      </w:r>
      <w:r w:rsidR="008144F0" w:rsidRPr="00F920D7">
        <w:t xml:space="preserve"> –</w:t>
      </w:r>
      <w:r w:rsidR="0054303C">
        <w:t xml:space="preserve"> </w:t>
      </w:r>
      <w:r w:rsidR="006F176C">
        <w:t xml:space="preserve">          </w:t>
      </w:r>
      <w:r w:rsidR="00D26866">
        <w:t>1 927 000</w:t>
      </w:r>
      <w:r w:rsidR="00D26866" w:rsidRPr="00D421CA">
        <w:t xml:space="preserve"> (</w:t>
      </w:r>
      <w:r w:rsidR="00D26866">
        <w:t>один миллион девятьсот двадцать семь тысяч</w:t>
      </w:r>
      <w:r w:rsidR="00D26866" w:rsidRPr="00D421CA">
        <w:t xml:space="preserve">) рублей, </w:t>
      </w:r>
      <w:r w:rsidR="00D26866">
        <w:t>с учетом НДС для нежилого здания, в том числе рыночная стоимость земельного участка – 1 531 000 (один миллион пятьсот тридцать одна тысяча)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D26866">
        <w:rPr>
          <w:rFonts w:ascii="Times New Roman" w:hAnsi="Times New Roman"/>
          <w:sz w:val="24"/>
          <w:szCs w:val="24"/>
        </w:rPr>
        <w:t>96 350</w:t>
      </w:r>
      <w:r w:rsidRPr="007A6A43">
        <w:rPr>
          <w:rFonts w:ascii="Times New Roman" w:hAnsi="Times New Roman"/>
          <w:sz w:val="24"/>
          <w:szCs w:val="24"/>
        </w:rPr>
        <w:t xml:space="preserve"> (</w:t>
      </w:r>
      <w:r w:rsidR="00D26866">
        <w:rPr>
          <w:rFonts w:ascii="Times New Roman" w:hAnsi="Times New Roman"/>
          <w:sz w:val="24"/>
          <w:szCs w:val="24"/>
        </w:rPr>
        <w:t>девяносто шесть тысяч триста пятьдесят</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Pr="007A6A43">
        <w:rPr>
          <w:rFonts w:ascii="Times New Roman" w:hAnsi="Times New Roman"/>
          <w:sz w:val="24"/>
          <w:szCs w:val="24"/>
        </w:rPr>
        <w:t xml:space="preserve"> </w:t>
      </w:r>
      <w:r w:rsidR="006F176C">
        <w:rPr>
          <w:rFonts w:ascii="Times New Roman" w:hAnsi="Times New Roman"/>
          <w:sz w:val="24"/>
          <w:szCs w:val="24"/>
        </w:rPr>
        <w:t>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lastRenderedPageBreak/>
        <w:t>1.14. Размер задатка</w:t>
      </w:r>
      <w:r w:rsidRPr="007A6A43">
        <w:t xml:space="preserve"> – </w:t>
      </w:r>
      <w:r w:rsidR="00D26866">
        <w:t>385 400</w:t>
      </w:r>
      <w:r w:rsidRPr="00D421CA">
        <w:t xml:space="preserve"> (</w:t>
      </w:r>
      <w:r w:rsidR="00D26866">
        <w:t>триста восемьдесят пять тысяч четыреста</w:t>
      </w:r>
      <w:r w:rsidRPr="00D421CA">
        <w:t>)</w:t>
      </w:r>
      <w:r w:rsidRPr="00F920D7">
        <w:t xml:space="preserve"> рублей, составляющий 20 процентов начальной цены продажи </w:t>
      </w:r>
      <w:r w:rsidR="006F176C">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26866">
        <w:rPr>
          <w:rFonts w:ascii="Times New Roman" w:hAnsi="Times New Roman"/>
          <w:bCs/>
          <w:sz w:val="24"/>
          <w:szCs w:val="24"/>
          <w:lang w:eastAsia="ru-RU"/>
        </w:rPr>
        <w:t>1</w:t>
      </w:r>
      <w:r w:rsidR="009C6451">
        <w:rPr>
          <w:rFonts w:ascii="Times New Roman" w:hAnsi="Times New Roman"/>
          <w:bCs/>
          <w:sz w:val="24"/>
          <w:szCs w:val="24"/>
          <w:lang w:eastAsia="ru-RU"/>
        </w:rPr>
        <w:t>4</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9C6451">
        <w:rPr>
          <w:rFonts w:ascii="Times New Roman" w:hAnsi="Times New Roman"/>
          <w:bCs/>
          <w:sz w:val="24"/>
          <w:szCs w:val="24"/>
          <w:lang w:eastAsia="ru-RU"/>
        </w:rPr>
        <w:t>5</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9C6451">
        <w:rPr>
          <w:rFonts w:ascii="Times New Roman" w:hAnsi="Times New Roman"/>
          <w:bCs/>
          <w:sz w:val="24"/>
          <w:szCs w:val="24"/>
          <w:lang w:eastAsia="ru-RU"/>
        </w:rPr>
        <w:t>10</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9C6451">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w:t>
      </w:r>
      <w:r w:rsidR="009C6451">
        <w:rPr>
          <w:rFonts w:ascii="Times New Roman" w:hAnsi="Times New Roman"/>
          <w:bCs/>
          <w:sz w:val="24"/>
          <w:szCs w:val="24"/>
          <w:lang w:eastAsia="ru-RU"/>
        </w:rPr>
        <w:t>аукциона</w:t>
      </w:r>
      <w:r w:rsidRPr="003C1BEE">
        <w:rPr>
          <w:rFonts w:ascii="Times New Roman" w:hAnsi="Times New Roman"/>
          <w:bCs/>
          <w:sz w:val="24"/>
          <w:szCs w:val="24"/>
          <w:lang w:eastAsia="ru-RU"/>
        </w:rPr>
        <w:t xml:space="preserve"> – </w:t>
      </w:r>
      <w:r w:rsidR="009C6451">
        <w:rPr>
          <w:rFonts w:ascii="Times New Roman" w:hAnsi="Times New Roman"/>
          <w:bCs/>
          <w:sz w:val="24"/>
          <w:szCs w:val="24"/>
          <w:lang w:eastAsia="ru-RU"/>
        </w:rPr>
        <w:t>15</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9C6451">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w:t>
      </w:r>
      <w:r w:rsidR="009C6451">
        <w:rPr>
          <w:rFonts w:ascii="Times New Roman" w:hAnsi="Times New Roman"/>
          <w:bCs/>
          <w:sz w:val="24"/>
          <w:szCs w:val="24"/>
          <w:lang w:eastAsia="ru-RU"/>
        </w:rPr>
        <w:t>аукциона</w:t>
      </w:r>
      <w:r w:rsidR="00F27CFD" w:rsidRPr="003C1BEE">
        <w:rPr>
          <w:rFonts w:ascii="Times New Roman" w:hAnsi="Times New Roman"/>
          <w:bCs/>
          <w:sz w:val="24"/>
          <w:szCs w:val="24"/>
          <w:lang w:eastAsia="ru-RU"/>
        </w:rPr>
        <w:t xml:space="preserve"> – </w:t>
      </w:r>
      <w:r w:rsidR="009C6451">
        <w:rPr>
          <w:rFonts w:ascii="Times New Roman" w:hAnsi="Times New Roman"/>
          <w:bCs/>
          <w:sz w:val="24"/>
          <w:szCs w:val="24"/>
          <w:lang w:eastAsia="ru-RU"/>
        </w:rPr>
        <w:t>17</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9C6451">
        <w:rPr>
          <w:rFonts w:ascii="Times New Roman" w:hAnsi="Times New Roman"/>
          <w:bCs/>
          <w:sz w:val="24"/>
          <w:szCs w:val="24"/>
          <w:lang w:eastAsia="ru-RU"/>
        </w:rPr>
        <w:t>6</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9C6451">
        <w:rPr>
          <w:rFonts w:ascii="Times New Roman" w:hAnsi="Times New Roman"/>
          <w:bCs/>
          <w:sz w:val="24"/>
          <w:szCs w:val="24"/>
          <w:lang w:eastAsia="ru-RU"/>
        </w:rPr>
        <w:t>12</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C6451">
        <w:rPr>
          <w:sz w:val="24"/>
        </w:rPr>
        <w:t>14</w:t>
      </w:r>
      <w:r w:rsidR="0054303C">
        <w:rPr>
          <w:sz w:val="24"/>
        </w:rPr>
        <w:t>.</w:t>
      </w:r>
      <w:r w:rsidR="00253A87">
        <w:rPr>
          <w:sz w:val="24"/>
        </w:rPr>
        <w:t>0</w:t>
      </w:r>
      <w:r w:rsidR="009C6451">
        <w:rPr>
          <w:sz w:val="24"/>
        </w:rPr>
        <w:t>5</w:t>
      </w:r>
      <w:r w:rsidR="00101107">
        <w:rPr>
          <w:sz w:val="24"/>
        </w:rPr>
        <w:t>.202</w:t>
      </w:r>
      <w:r w:rsidR="00253A87">
        <w:rPr>
          <w:sz w:val="24"/>
        </w:rPr>
        <w:t>2</w:t>
      </w:r>
      <w:r w:rsidR="00101107">
        <w:rPr>
          <w:sz w:val="24"/>
        </w:rPr>
        <w:t xml:space="preserve"> по </w:t>
      </w:r>
      <w:r w:rsidR="009C6451">
        <w:rPr>
          <w:sz w:val="24"/>
        </w:rPr>
        <w:t>10</w:t>
      </w:r>
      <w:r w:rsidR="00CE6D1B">
        <w:rPr>
          <w:sz w:val="24"/>
        </w:rPr>
        <w:t>.</w:t>
      </w:r>
      <w:r w:rsidR="00253A87">
        <w:rPr>
          <w:sz w:val="24"/>
        </w:rPr>
        <w:t>0</w:t>
      </w:r>
      <w:r w:rsidR="009C6451">
        <w:rPr>
          <w:sz w:val="24"/>
        </w:rPr>
        <w:t>6</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единым лотом муниципального имущества по ул. Беловежской, 6г</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lastRenderedPageBreak/>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D26866" w:rsidRPr="00BA7510"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w:t>
      </w:r>
      <w:r w:rsidR="00D26866" w:rsidRPr="00BA7510">
        <w:rPr>
          <w:rFonts w:ascii="Times New Roman" w:hAnsi="Times New Roman"/>
          <w:color w:val="000000"/>
          <w:sz w:val="24"/>
          <w:szCs w:val="24"/>
        </w:rPr>
        <w:lastRenderedPageBreak/>
        <w:t xml:space="preserve">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w:t>
      </w:r>
      <w:proofErr w:type="gramEnd"/>
      <w:r w:rsidR="00D26866" w:rsidRPr="00BA7510">
        <w:rPr>
          <w:rFonts w:ascii="Times New Roman" w:hAnsi="Times New Roman"/>
          <w:sz w:val="24"/>
          <w:szCs w:val="24"/>
        </w:rPr>
        <w:t xml:space="preserve"> </w:t>
      </w:r>
      <w:r w:rsidR="00D26866"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00D26866"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w:t>
      </w:r>
      <w:bookmarkStart w:id="2" w:name="_GoBack"/>
      <w:r w:rsidR="003861E6" w:rsidRPr="002122F9">
        <w:rPr>
          <w:rFonts w:ascii="Times New Roman" w:hAnsi="Times New Roman"/>
          <w:color w:val="000000"/>
          <w:spacing w:val="3"/>
          <w:sz w:val="24"/>
          <w:szCs w:val="24"/>
        </w:rPr>
        <w:t xml:space="preserve">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26866" w:rsidRPr="00BA7510">
        <w:rPr>
          <w:rFonts w:ascii="Times New Roman" w:hAnsi="Times New Roman"/>
          <w:color w:val="000000"/>
          <w:sz w:val="24"/>
          <w:szCs w:val="24"/>
        </w:rPr>
        <w:t>».</w:t>
      </w:r>
      <w:r w:rsidR="00D26866">
        <w:rPr>
          <w:rFonts w:ascii="Times New Roman" w:hAnsi="Times New Roman"/>
          <w:color w:val="000000"/>
          <w:sz w:val="24"/>
          <w:szCs w:val="24"/>
        </w:rPr>
        <w:t xml:space="preserve"> </w:t>
      </w:r>
      <w:r w:rsidR="00D26866"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w:t>
      </w:r>
      <w:bookmarkEnd w:id="2"/>
      <w:r w:rsidR="00D26866" w:rsidRPr="00BA7510">
        <w:rPr>
          <w:rFonts w:ascii="Times New Roman" w:hAnsi="Times New Roman"/>
          <w:bCs/>
          <w:sz w:val="24"/>
          <w:szCs w:val="24"/>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w:t>
      </w:r>
      <w:r w:rsidR="00CE0EA0">
        <w:rPr>
          <w:sz w:val="24"/>
        </w:rPr>
        <w:t xml:space="preserve">Осмотр имущества проводится в рабочие дни еженедельно по четвергам с 10-00 до 11-00 часов (время красноярское) по предварительной записи. </w:t>
      </w:r>
      <w:r w:rsidR="00750782">
        <w:rPr>
          <w:sz w:val="24"/>
        </w:rPr>
        <w:t xml:space="preserve">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CE0EA0">
        <w:rPr>
          <w:sz w:val="24"/>
        </w:rPr>
        <w:t>, 226-17-93.</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ператором электронной площадки либо размещенные им на электронной площадке, должны быть подписаны усиленной </w:t>
      </w:r>
      <w:r>
        <w:rPr>
          <w:rFonts w:ascii="Times New Roman" w:eastAsiaTheme="minorHAnsi" w:hAnsi="Times New Roman"/>
          <w:sz w:val="24"/>
          <w:szCs w:val="24"/>
        </w:rPr>
        <w:lastRenderedPageBreak/>
        <w:t>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CE0EA0" w:rsidRDefault="00CE0EA0" w:rsidP="005343E0">
      <w:pPr>
        <w:pStyle w:val="TextBasTxt"/>
        <w:spacing w:line="192" w:lineRule="auto"/>
        <w:ind w:firstLine="0"/>
        <w:jc w:val="left"/>
        <w:rPr>
          <w:sz w:val="16"/>
          <w:szCs w:val="16"/>
        </w:rPr>
      </w:pPr>
    </w:p>
    <w:p w:rsidR="00CE0EA0" w:rsidRDefault="00CE0EA0"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9C6451">
        <w:rPr>
          <w:sz w:val="16"/>
          <w:szCs w:val="16"/>
        </w:rPr>
        <w:t>13</w:t>
      </w:r>
      <w:r w:rsidR="00711952">
        <w:rPr>
          <w:sz w:val="16"/>
          <w:szCs w:val="16"/>
        </w:rPr>
        <w:t>.</w:t>
      </w:r>
      <w:r w:rsidR="00C20E1D">
        <w:rPr>
          <w:sz w:val="16"/>
          <w:szCs w:val="16"/>
        </w:rPr>
        <w:t>0</w:t>
      </w:r>
      <w:r w:rsidR="009C6451">
        <w:rPr>
          <w:sz w:val="16"/>
          <w:szCs w:val="16"/>
        </w:rPr>
        <w:t>5</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C6451">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76C"/>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6451"/>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0EA0"/>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9FBEB6-C8E2-4133-8F53-521320A66A2A}"/>
</file>

<file path=customXml/itemProps2.xml><?xml version="1.0" encoding="utf-8"?>
<ds:datastoreItem xmlns:ds="http://schemas.openxmlformats.org/officeDocument/2006/customXml" ds:itemID="{613C4F36-BA4F-498F-B0CF-8B411A413D80}"/>
</file>

<file path=customXml/itemProps3.xml><?xml version="1.0" encoding="utf-8"?>
<ds:datastoreItem xmlns:ds="http://schemas.openxmlformats.org/officeDocument/2006/customXml" ds:itemID="{DE56F6B2-1B6F-44D7-B148-2D777ECBA4BE}"/>
</file>

<file path=customXml/itemProps4.xml><?xml version="1.0" encoding="utf-8"?>
<ds:datastoreItem xmlns:ds="http://schemas.openxmlformats.org/officeDocument/2006/customXml" ds:itemID="{C76DB221-EAB8-48A3-B5FE-134964074855}"/>
</file>

<file path=docProps/app.xml><?xml version="1.0" encoding="utf-8"?>
<Properties xmlns="http://schemas.openxmlformats.org/officeDocument/2006/extended-properties" xmlns:vt="http://schemas.openxmlformats.org/officeDocument/2006/docPropsVTypes">
  <Template>Normal</Template>
  <TotalTime>1556</TotalTime>
  <Pages>15</Pages>
  <Words>6278</Words>
  <Characters>35788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181</cp:revision>
  <cp:lastPrinted>2022-01-17T04:02:00Z</cp:lastPrinted>
  <dcterms:created xsi:type="dcterms:W3CDTF">2019-06-19T05:09:00Z</dcterms:created>
  <dcterms:modified xsi:type="dcterms:W3CDTF">2022-05-13T04:14:00Z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